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F4210D">
      <w:r>
        <w:t xml:space="preserve">When the debt crisis tipping point comes, what will be the first to go?  Obama’s win on health care makes it certain that we will look to health care for changes.  Not only will Obama Care go, but its cuts in Medicare will stay and be magnified.  They will have gone too far and the backlash will do more conservatism than any Republican could have done.  </w:t>
      </w:r>
      <w:proofErr w:type="spellStart"/>
      <w:r>
        <w:t>Obamicare</w:t>
      </w:r>
      <w:proofErr w:type="spellEnd"/>
      <w:r>
        <w:t xml:space="preserve"> will end up reforming Medicare and Medicaid, and lowering prices, but only because America will see the error of big government solutions and go dramatically in the other direction.  </w:t>
      </w:r>
    </w:p>
    <w:sectPr w:rsidR="00F43064"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F4210D"/>
    <w:rsid w:val="001C397E"/>
    <w:rsid w:val="0051411B"/>
    <w:rsid w:val="0089577F"/>
    <w:rsid w:val="00AA4425"/>
    <w:rsid w:val="00AB5FD7"/>
    <w:rsid w:val="00F4210D"/>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2010-03-26T05:15:00Z</dcterms:created>
  <dcterms:modified xsi:type="dcterms:W3CDTF">2010-03-26T07:36:00Z</dcterms:modified>
</cp:coreProperties>
</file>